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38</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pStyle w:val="18"/>
        <w:ind w:left="480" w:firstLine="0" w:firstLineChars="0"/>
        <w:rPr>
          <w:sz w:val="24"/>
        </w:rPr>
      </w:pPr>
    </w:p>
    <w:p>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15</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pPr>
              <w:widowControl/>
              <w:jc w:val="center"/>
              <w:rPr>
                <w:rFonts w:ascii="宋体" w:hAnsi="宋体" w:cs="宋体"/>
                <w:kern w:val="0"/>
                <w:sz w:val="24"/>
              </w:rPr>
            </w:pPr>
            <w:r>
              <w:rPr>
                <w:rFonts w:hint="eastAsia" w:ascii="宋体" w:hAnsi="宋体"/>
                <w:sz w:val="24"/>
              </w:rPr>
              <w:t>澄清液体或按样品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3.5-5.0（按1%水溶液检测）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≤0.40</w:t>
            </w:r>
          </w:p>
        </w:tc>
      </w:tr>
    </w:tbl>
    <w:p>
      <w:pPr>
        <w:pStyle w:val="2"/>
        <w:ind w:left="0" w:leftChars="0" w:firstLine="0" w:firstLineChars="0"/>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